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700"/>
        <w:gridCol w:w="680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1417"/>
        <w:gridCol w:w="1423"/>
      </w:tblGrid>
      <w:tr w:rsidR="00E61A3A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2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К БАЛАНСУ УЧРЕЖДЕНИЯ</w:t>
            </w:r>
          </w:p>
        </w:tc>
      </w:tr>
      <w:tr w:rsidR="00E61A3A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E61A3A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0503760</w:t>
            </w:r>
          </w:p>
        </w:tc>
      </w:tr>
      <w:tr w:rsidR="00E61A3A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4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32"/>
            </w:tblGrid>
            <w:tr w:rsidR="00E61A3A">
              <w:trPr>
                <w:jc w:val="center"/>
              </w:trPr>
              <w:tc>
                <w:tcPr>
                  <w:tcW w:w="4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E61A3A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государственное учреждение здравоохранения Ярославской области "Детская поликлиника №3"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01951476</w:t>
            </w:r>
          </w:p>
        </w:tc>
      </w:tr>
      <w:tr w:rsidR="00E61A3A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Обособленное подразделение</w:t>
            </w: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  <w:jc w:val="center"/>
            </w:pPr>
          </w:p>
        </w:tc>
      </w:tr>
      <w:tr w:rsidR="00E61A3A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Министерство здравоохранения Ярославской области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4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3"/>
            </w:tblGrid>
            <w:tr w:rsidR="00E61A3A">
              <w:trPr>
                <w:jc w:val="center"/>
              </w:trPr>
              <w:tc>
                <w:tcPr>
                  <w:tcW w:w="1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78701000</w:t>
                  </w: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23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органа, </w:t>
            </w:r>
            <w:r>
              <w:rPr>
                <w:color w:val="000000"/>
                <w:sz w:val="28"/>
                <w:szCs w:val="28"/>
              </w:rPr>
              <w:br/>
              <w:t>осуществляющего</w:t>
            </w:r>
            <w:r>
              <w:rPr>
                <w:color w:val="000000"/>
                <w:sz w:val="28"/>
                <w:szCs w:val="28"/>
              </w:rPr>
              <w:br/>
              <w:t>полномочия учредителя</w:t>
            </w:r>
          </w:p>
        </w:tc>
        <w:tc>
          <w:tcPr>
            <w:tcW w:w="4986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  <w:jc w:val="center"/>
            </w:pPr>
          </w:p>
        </w:tc>
      </w:tr>
      <w:tr w:rsidR="00E61A3A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00097594</w:t>
            </w:r>
          </w:p>
        </w:tc>
      </w:tr>
      <w:tr w:rsidR="00E61A3A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901</w:t>
            </w:r>
          </w:p>
        </w:tc>
      </w:tr>
      <w:tr w:rsidR="00E61A3A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Периодичность: квартальная, годовая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  <w:jc w:val="center"/>
            </w:pPr>
          </w:p>
        </w:tc>
      </w:tr>
      <w:tr w:rsidR="00E61A3A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97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Балансу по форме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0503730</w:t>
            </w:r>
          </w:p>
        </w:tc>
      </w:tr>
      <w:tr w:rsidR="00E61A3A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измерения: руб.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  <w:tr w:rsidR="00E61A3A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61A3A" w:rsidRDefault="00E61A3A">
      <w:pPr>
        <w:rPr>
          <w:vanish/>
        </w:rPr>
      </w:pPr>
      <w:bookmarkStart w:id="2" w:name="__bookmark_3"/>
      <w:bookmarkEnd w:id="2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E61A3A">
        <w:trPr>
          <w:trHeight w:val="322"/>
          <w:tblHeader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учреждения"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E61A3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Основными целями деятельности учреждения является: оказание медико-санитарной помощи населению (экстренной, неотложной, консультативной, диагностической, профилактической, лечебной, физиотерапевтической), проведение комплексного восстановительного лечения взрослых и детей. Основными видами деятельности является: осуществление доврачебной медицинской помощи, осуществление амбулаторно-поликлинической медицинской помощи, осуществление специализированной медицинской помощи.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Общероссийский классификатор вида деятельности в 2024 году не изменялся.</w:t>
                  </w:r>
                </w:p>
              </w:tc>
            </w:tr>
          </w:tbl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"Результаты деятельности учреждения"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E61A3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Численность персонала по штатному расписанию - 452 ставки, из них занято - 401,5 ставок, вакантных - 50,5 ставки. С целью повышения квалификации прошли усовершенствования и специализации (в том числе НМО) врачей - 67, медсестры - 43.  Фактическое количество: посещений с профилактической целью - 263876; посещения, оказываемые в неотложной форме - 42883; обращения по заболеваниям - 72405; количество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пациенто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-дней в дневном стационаре - 11603; пролечено больных в дневном стационаре - 1718. Государственное задание на оказание государственных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услуг выполнено в неполном объеме, так как число обратившихся за помощью по заболеваниям меньше плановых. Вакцинация - 61555; обращения по заболеваниям - 12; посещений, помощь в неотложной форме - 104 посещения. Балансовая стоимость основных фондов на 01.01.2025г. составляет 161239529,30 руб., в том числе недвижимое имущество - 47759761,87 руб., особо ценное движимое имущество - 101342681,73 руб. Амортизация основных фондов составляет 67%. Техническое состояние основных фондов удовлетворительное и пригодное к эксплуатации. Недостач и порчи имущества в 2024г. не выявлено. Основные средства использовались строго по своему целевому назначению, технический уровень в целом соответствует реальной потребности в них. Переоценка имущества не производилась.  Материальные запасы, приобретаемые для хозяйственной деятельности, поступали своевременно. Дефицита в материальных запасах не допускалось. Получено безвозмездно оборудования, материалов, комплектующих к компьютерам  на сумму 241210,58 руб., передано от учредителя оборудование и программное обеспечение на сумму 733947,60 руб.  Переведено медицинское оборудование на сумму 16150500,0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руб.с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иного движимого на особо ценное движимое имущество с кода финансового обеспечения "5", "2" на код финансового обеспечения "4".</w:t>
                  </w:r>
                </w:p>
              </w:tc>
            </w:tr>
          </w:tbl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учреждением плана его деятельности"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E61A3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Отчеты "Об исполнении учреждением плана его финансово-хозяйственной деятельности" (форма 0503737)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составлены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а разрезе видов финансового обеспечения. 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    В форме 0503737 КФО 4 "Субсидия на выполнение государственного (муниципального) задания" поступила на счета учреждения в сумме 14853350,0 руб. (100% к плану). Расходы за счет субсидии на государственное задание составили 12515879,11 руб.(82% к плану). 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    В форме 0503737 КФО 5 "Субсидии на иные цели" поступили в сумме 60055276,65 руб. (99% к плану). Возврат неиспользованных остатков целевых средств в бюджет в 2024 году составил - 60651,25 руб. Расходы за счет субсидии на иные цели составили - 59196254,98 руб. (98% к плану). 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    В форме 0503737 КФО 2 "Собственные доходы учреждения" составили 9612982,74руб. (100% к плану), в том числе доходы от оказания платных услуг - 8306528,54руб. (86% от суммы поступлений и 86% от плана). Расходы составили - 8921695,48руб. (87% от плана). Основную долю в расходах занимают расходы по оплате труда и начислениям на выплаты по оплате труда - 73 %.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форме 0503737 КФО 7 "Средства обязательного медицинского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страхования"поступления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составили - 323080644,84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руб.(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99% к плану). Расходы составляют - 326063655,06 руб.(95% к плану). Основную долю в расходах занимают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 на выплату по оплате труда и начислениям на выплату по оплате труда - 90%, расходы на приобретение товаров, работ и услуг - 10%. </w:t>
                  </w:r>
                </w:p>
              </w:tc>
            </w:tr>
          </w:tbl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"Анализ показателей отчетности учреждения"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E61A3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форме 0503730 " Баланс государственного (муниципального) учреждения": остаток денежных средств на 01.01.25г. - 20429509,25 руб., в том числе по субсидии на выполнения гос. задания - 2729576,44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руб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субсидии на иные цели - 1390235,55 руб., средства от приносящей доход деятельности - 16309697,26 руб. Остатки денежных средств на лицевых счетах подтверждены выписками.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В форме 0503730 "Баланс государственного (муниципального) учреждения" (справка) - обеспечение исполнения обязательств по договорам: банковская гарантия - 1946817,08 руб., средства во временное распоряжение - 1584229,98 руб. Бланки строгой отчетности: листы нетрудоспособности - 2495,0 руб., банковские карты - 2,0 руб., топливная карта - 5,0 руб.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В форме 0503721 "Отчет о финансовых результатах деятельности учреждения":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в строке 110"Безвозмездные неденежные поступления текущего характера" по коду аналитики (191)по гр.5 "Деятельность по государственному заданию" отражена сумма 27866125,21руб. (вакцина);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в строке 110"Безвозмездные неденежные поступления текущего характера" по коду аналитики (191) по гр.6 "приносящая доход деятельность" отражена сумма 93302716,49 руб. (медикаменты и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спец.питание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от других мед. учреждений);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    в строке 110 "Безвозмездные неденежные поступления текущего характера" по коду аналитики (192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),  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том числе по гр.6 "приносящая доход деятельность" в сумме 99970,0 руб. (комплектующие к компьютеру, полученные по договору благотворительной помощи );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     в строке 110 "Безвозмездные неденежные поступления текущего характера от физических лиц" по коду аналитики (193), в том числе по гр.6 "приносящая доход деятельность" отражена сумма 5640,58 руб. (ГСМ).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     в строке 110 "Безвозмездные неденежные поступления капитального характера от организаций " по коду аналитики (196), в том числе по гр.6 "приносящая доход деятельность" отражена сумма 49050,0 руб. (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рецикуляторы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и мебель).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в строке 110 "Безвозмездные неденежные поступления капитального характера от физических лиц" по коду аналитики (197), в том числе по гр.6 "приносящая доход деятельность" отражена сумма 86550,0 руб. (мед. мебель).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Общая балансовая стоимость основных средств по состоянию на 01.01.2025 по сравнению с данными на 01.01.2024 увеличилась с 146375479,85руб. до 161239529,30 руб. (на 10%).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    Наибольшая балансовая стоимость основных средств по состоянию на 01.01.2025 отражена по виду финансового обеспечения 4 "Субсидии на выполнение государственного (муниципального) задания 136048428,16 руб. (84% от общей стоимости основных средств).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Общая стоимость недвижимого имущества учреждения по состоянию на 01.01.2025г. составляет 47759761,87 руб. (30% от общей стоимости основных средств), в том числе по виду финансового обеспечения 4 "Субсидии на выполнение государственного (муниципального) задания 47759761,87 руб. (100% от общей стоимости недвижимого имущества).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Балансовая стоимость особо ценного движимого имущества на 01.01.2025г. составляет 101342681,73 руб. (63% от общей стоимости основных средств).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Наибольший удельный вес в стоимости основных средств по состоянию на 01.01.2025 года занимают нежилые помещения (здания и сооружения) 47759761,87 руб. (30% от общей стоимости), машины и оборудование 98243163,44 руб. (64% от общей стоимости).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В течение года вложения в нефинансовые активы: особо ценного имущество увеличилось с 87301959,49 руб. до 101342681,73 руб., недвижимое имущество осталось без изменений.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В форме 0503768 "Сведения о движении нефинансовых активов учреждения" на забалансовом счете 25 отражены договоры аренды сроком до 1 года.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Сумма доходов по условным арендным платежам в текущем финансовом периоде - 117536,88 руб.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Балансовая стоимость объектов ОС, находящихся в эксплуатации и имеющих нулевую остаточную стоимость составляет 64675574,41 руб.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В формах 0503769 "Сведения по дебиторской и кредиторской задолженности учреждения": дебиторская задолженность по состоянию на 01.01.2025г. по сравнению с данными на 01.01.2024г. увеличилась с 19160350,86 руб. до 74498170,40 руб.; кредиторская задолженность по состоянию на 01.01.2025г. по сравнению с данными на 01.01.2024г. увеличилась с 42028254,15 руб. до 45392517,13 руб.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Наибольший удельный вес занимает кредиторская задолженность по виду финансового обеспечения 7 "Средства обязательного медицинского страхования" по счетам бухгалтерского учета 0 302.00.000 - 13384409,61 руб. (38% от общей суммы кредиторской задолженности).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По расчетам с прочими дебиторами (счет 0 210.05.000) отражены перечисления по обеспечениям заявок на участие в конкурсах в сумме 32800,0 руб.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 xml:space="preserve">     По состоянию на 01.01.2025 года по ГУЗ ЯО "Детская поликлиника № 3" просроченная кредиторская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задолженностьсоставляет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- 1687968,37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рублей,в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том числе: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по КФО 2 (приносящая доход деятельность) - 311,0 рублей. В том числе по периодам образования - за ноябрь - 311,0 рублей. В том числе по КСБУ и направлениям расхода: (КСБУ 030226000) - 311,0 рублей за получение справки о средней стоимости молока;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 xml:space="preserve">по КФО 4 (субсидия на выполнение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гос.задания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) -39500,0 рублей. В том числе по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периодам образования - за декабрь - 39500,0 рублей. В том числе по КСБУ и направлениям расхода: (КСБУ 030234000) - 39500,0 рублей за медикаменты и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мед.изделия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 xml:space="preserve">по КФО 5 (субсидии на иные цели) - 1071684,41 рубль. В том числе по периодам образования - за ноябрь - 982284,41 рубль; за декабрь - 89400,0 рублей. В том числе по КСБУ и направлениям расхода: (КСБУ 030225000) - 982284,41 рубль за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кап.ремонт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помещений под планируемое к закупке оборудование по программе "Модернизация первичного звена здравоохранения ЯО"; (КСБУ 030234000) - 89400,0 рублей - за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мед.изделия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 xml:space="preserve">по КФО 7 (средства ОМС) - 576472,96 рублей. В том числе по периодам образования - за декабрь - 576472,96 рублей. В том числе по КСБУ и направлениям расхода: (КСБУ 030225000) - 78928,80 рублей из них 30508,80 руб. - за услуги по стирке белья; 48420,0 руб.- санитарно-бактериологические исследования смывов и воздуха; (КСБУ 030226000) - 70276,0 рублей из них 70276,0 руб. - за программное обслуживание ПО; (КСБУ 030234000) - 427268,16 рублей из них 128500,0 руб. - за медицинские бланки; 298768,15 руб. - за медикаменты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мед.изделия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Просроченная кредиторская задолженность образовалась в связи с тем, что отправленные учреждением платежные поручения для исполнения не были проведены Отделом казначейского обслуживания и контроля.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0503779 КФО 2 "Сведения об остатках денежных средств учреждения. Собственные доходы учреждения." Остаток средств на счете 201 34 000 на начало отчетного периода 24755,0 руб., в том числе по коду аналитики: (131) 1450,0 руб., на конец отчетного периода 0,00 рублей, в том числе по коду аналитики: (131) 0,00 рублей.</w:t>
                  </w:r>
                </w:p>
              </w:tc>
            </w:tr>
          </w:tbl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"Прочие вопросы деятельности учреждения"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E61A3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Бухгалтерский учет ведется бухгалтерией учреждения на основании Инструкции по бухгалтерскому учету, утвержденная Приказом Минфина от 01.12.2010г. № 157-н, от 16.12.2010г. № 174н и Учетной политикой организации.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    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  Перечень форм бухгалтерской отчетности, не включенных в состав бюджетной отчетности за отчетный период в виду отсутствия числовых значений показателей:</w:t>
                  </w:r>
                </w:p>
                <w:p w:rsidR="00E61A3A" w:rsidRDefault="009658E6">
                  <w:pPr>
                    <w:spacing w:before="190"/>
                  </w:pPr>
                  <w:r>
                    <w:rPr>
                      <w:color w:val="000000"/>
                      <w:sz w:val="28"/>
                      <w:szCs w:val="28"/>
                    </w:rPr>
                    <w:t>Справка по консолидируемым расчетам учреждения (ф.0503725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)</w:t>
                  </w:r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Отчет об исполнении учреждением плана его финансово-хозяйственной деятельности (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субсидии на цели осуществления капвложений</w:t>
                  </w:r>
                  <w:r>
                    <w:rPr>
                      <w:color w:val="000000"/>
                      <w:sz w:val="28"/>
                      <w:szCs w:val="28"/>
                    </w:rPr>
                    <w:t>) (ф. 0503737); 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Отчет об обязательствах учреждения (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субсидии на цели осуществления капвложений</w:t>
                  </w:r>
                  <w:r>
                    <w:rPr>
                      <w:color w:val="000000"/>
                      <w:sz w:val="28"/>
                      <w:szCs w:val="28"/>
                    </w:rPr>
                    <w:t>) (ф. 0503738);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Сведения о движении нефинансовых активов учреждения (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субсидии на цели осуществления капвложений</w:t>
                  </w:r>
                  <w:r>
                    <w:rPr>
                      <w:color w:val="000000"/>
                      <w:sz w:val="28"/>
                      <w:szCs w:val="28"/>
                    </w:rPr>
                    <w:t>) 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(ф. 0503768);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по дебиторской и кредиторской задолженности учреждения (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субсидии на цели осуществления капвложений</w:t>
                  </w:r>
                  <w:r>
                    <w:rPr>
                      <w:color w:val="000000"/>
                      <w:sz w:val="28"/>
                      <w:szCs w:val="28"/>
                    </w:rPr>
                    <w:t>) (ф. 0503769);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изменении остатков валюты баланса учреждения (ф. 0503773); 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остатках денежных средств учреждения (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субсидии на цели осуществления капвложений</w:t>
                  </w:r>
                  <w:r>
                    <w:rPr>
                      <w:color w:val="000000"/>
                      <w:sz w:val="28"/>
                      <w:szCs w:val="28"/>
                    </w:rPr>
                    <w:t>) (ф. 0503779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) ;</w:t>
                  </w:r>
                  <w:proofErr w:type="gramEnd"/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 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финансовых вложениях учреждения (ф. 0503771);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суммах заимствований (ф. 0503772);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вложениях в объекты недвижимого имущества, об объектах незавершенного строительства бюджетного (автономного) учреждения (ф. 0503790);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направлениях деятельности (Таблица №1); 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проведении инвентаризаций (Таблица N 6).</w:t>
                  </w:r>
                </w:p>
                <w:p w:rsidR="00E61A3A" w:rsidRDefault="009658E6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    </w:t>
                  </w:r>
                </w:p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    </w:t>
                  </w:r>
                </w:p>
              </w:tc>
            </w:tr>
          </w:tbl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E61A3A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E61A3A" w:rsidRDefault="00E61A3A">
      <w:pPr>
        <w:rPr>
          <w:vanish/>
        </w:rPr>
      </w:pPr>
      <w:bookmarkStart w:id="3" w:name="__bookmark_4"/>
      <w:bookmarkEnd w:id="3"/>
    </w:p>
    <w:tbl>
      <w:tblPr>
        <w:tblOverlap w:val="never"/>
        <w:tblW w:w="10197" w:type="dxa"/>
        <w:tblLayout w:type="fixed"/>
        <w:tblLook w:val="01E0" w:firstRow="1" w:lastRow="1" w:firstColumn="1" w:lastColumn="1" w:noHBand="0" w:noVBand="0"/>
      </w:tblPr>
      <w:tblGrid>
        <w:gridCol w:w="1190"/>
        <w:gridCol w:w="963"/>
        <w:gridCol w:w="1303"/>
        <w:gridCol w:w="283"/>
        <w:gridCol w:w="283"/>
        <w:gridCol w:w="1133"/>
        <w:gridCol w:w="283"/>
        <w:gridCol w:w="1417"/>
        <w:gridCol w:w="283"/>
        <w:gridCol w:w="1133"/>
        <w:gridCol w:w="283"/>
        <w:gridCol w:w="396"/>
        <w:gridCol w:w="1247"/>
      </w:tblGrid>
      <w:tr w:rsidR="00E61A3A">
        <w:trPr>
          <w:trHeight w:val="680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E61A3A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Главный врач</w:t>
                  </w: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E61A3A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И.И. Комарова</w:t>
                  </w: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E61A3A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E61A3A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E61A3A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r>
                          <w:rPr>
                            <w:color w:val="000000"/>
                          </w:rPr>
                          <w:t>Сертификат: 420C2B00BA07898C3751F8FD7DC68E86</w:t>
                        </w:r>
                      </w:p>
                      <w:p w:rsidR="00E61A3A" w:rsidRDefault="009658E6">
                        <w:r>
                          <w:rPr>
                            <w:color w:val="000000"/>
                          </w:rPr>
                          <w:t>Владелец: Комарова Ирина Ивановна</w:t>
                        </w:r>
                      </w:p>
                      <w:p w:rsidR="00E61A3A" w:rsidRDefault="009658E6">
                        <w:r>
                          <w:rPr>
                            <w:color w:val="000000"/>
                          </w:rPr>
                          <w:t>Действителен с 24.07.2024 по 17.10.2025</w:t>
                        </w:r>
                      </w:p>
                      <w:p w:rsidR="00E61A3A" w:rsidRDefault="009658E6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E61A3A" w:rsidRDefault="00E61A3A">
                  <w:pPr>
                    <w:spacing w:line="1" w:lineRule="auto"/>
                  </w:pP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rPr>
          <w:trHeight w:val="453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E61A3A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Зам. главного врача по экономическим вопросам</w:t>
                  </w: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E61A3A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Н.В.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Грибалева</w:t>
                  </w:r>
                  <w:proofErr w:type="spellEnd"/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E61A3A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E61A3A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E61A3A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r>
                          <w:rPr>
                            <w:color w:val="000000"/>
                          </w:rPr>
                          <w:t>Сертификат: 00F985B9FBACA9B26263C404340CD9FCC3</w:t>
                        </w:r>
                      </w:p>
                      <w:p w:rsidR="00E61A3A" w:rsidRDefault="009658E6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Грибалева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Надежда Витальевна</w:t>
                        </w:r>
                      </w:p>
                      <w:p w:rsidR="00E61A3A" w:rsidRDefault="009658E6">
                        <w:r>
                          <w:rPr>
                            <w:color w:val="000000"/>
                          </w:rPr>
                          <w:t>Действителен с 23.05.2024 по 16.08.2025</w:t>
                        </w:r>
                      </w:p>
                      <w:p w:rsidR="00E61A3A" w:rsidRDefault="009658E6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E61A3A" w:rsidRDefault="00E61A3A">
                  <w:pPr>
                    <w:spacing w:line="1" w:lineRule="auto"/>
                  </w:pP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E61A3A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 xml:space="preserve">Главный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бухгалтер</w:t>
                  </w: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E61A3A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Е.Н. Зубова</w:t>
                  </w: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rPr>
          <w:trHeight w:val="680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E61A3A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E61A3A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E61A3A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r>
                          <w:rPr>
                            <w:color w:val="000000"/>
                          </w:rPr>
                          <w:t>Сертификат: 00E70E75F9EF26471DA5952F0BF7A00707</w:t>
                        </w:r>
                      </w:p>
                      <w:p w:rsidR="00E61A3A" w:rsidRDefault="009658E6">
                        <w:r>
                          <w:rPr>
                            <w:color w:val="000000"/>
                          </w:rPr>
                          <w:t>Владелец: Зубова Елена Николаевна</w:t>
                        </w:r>
                      </w:p>
                      <w:p w:rsidR="00E61A3A" w:rsidRDefault="009658E6">
                        <w:r>
                          <w:rPr>
                            <w:color w:val="000000"/>
                          </w:rPr>
                          <w:t>Действителен с 24.07.2024 по 17.10.2025</w:t>
                        </w:r>
                      </w:p>
                      <w:p w:rsidR="00E61A3A" w:rsidRDefault="009658E6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E61A3A" w:rsidRDefault="00E61A3A">
                  <w:pPr>
                    <w:spacing w:line="1" w:lineRule="auto"/>
                  </w:pP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</w:tbl>
    <w:p w:rsidR="00E61A3A" w:rsidRDefault="00E61A3A">
      <w:pPr>
        <w:rPr>
          <w:vanish/>
        </w:rPr>
      </w:pPr>
      <w:bookmarkStart w:id="4" w:name="__bookmark_5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1710"/>
      </w:tblGrid>
      <w:tr w:rsidR="00E61A3A"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rPr>
          <w:trHeight w:val="737"/>
        </w:trPr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7080" w:type="dxa"/>
            <w:gridSpan w:val="10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(наименование, </w:t>
            </w:r>
            <w:proofErr w:type="gramStart"/>
            <w:r>
              <w:rPr>
                <w:color w:val="000000"/>
                <w:sz w:val="16"/>
                <w:szCs w:val="16"/>
              </w:rPr>
              <w:t>местонахождение )</w:t>
            </w:r>
            <w:proofErr w:type="gramEnd"/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</w:tbl>
    <w:p w:rsidR="00E61A3A" w:rsidRDefault="00E61A3A">
      <w:pPr>
        <w:rPr>
          <w:vanish/>
        </w:rPr>
      </w:pPr>
      <w:bookmarkStart w:id="5" w:name="__bookmark_6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7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35"/>
      </w:tblGrid>
      <w:tr w:rsidR="00E61A3A">
        <w:trPr>
          <w:trHeight w:val="566"/>
        </w:trPr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br/>
              <w:t>(уполномоченное лицо)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</w:tblGrid>
            <w:tr w:rsidR="00E61A3A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E61A3A">
                  <w:pPr>
                    <w:spacing w:line="1" w:lineRule="auto"/>
                    <w:jc w:val="center"/>
                  </w:pP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</w:tr>
      <w:tr w:rsidR="00E61A3A">
        <w:trPr>
          <w:trHeight w:val="566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61A3A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  <w:jc w:val="center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</w:tblGrid>
            <w:tr w:rsidR="00E61A3A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Е.Н. Зубова</w:t>
                  </w: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</w:tr>
      <w:tr w:rsidR="00E61A3A">
        <w:trPr>
          <w:trHeight w:val="510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61A3A">
        <w:tc>
          <w:tcPr>
            <w:tcW w:w="7290" w:type="dxa"/>
            <w:gridSpan w:val="9"/>
            <w:vMerge w:val="restart"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29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0"/>
            </w:tblGrid>
            <w:tr w:rsidR="00E61A3A">
              <w:trPr>
                <w:trHeight w:val="230"/>
              </w:trPr>
              <w:tc>
                <w:tcPr>
                  <w:tcW w:w="729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E61A3A">
              <w:trPr>
                <w:trHeight w:val="230"/>
              </w:trPr>
              <w:tc>
                <w:tcPr>
                  <w:tcW w:w="7290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90"/>
                  </w:tblGrid>
                  <w:tr w:rsidR="00E61A3A">
                    <w:tc>
                      <w:tcPr>
                        <w:tcW w:w="7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r>
                          <w:rPr>
                            <w:color w:val="000000"/>
                          </w:rPr>
                          <w:t>Сертификат: 00E70E75F9EF26471DA5952F0BF7A00707</w:t>
                        </w:r>
                      </w:p>
                      <w:p w:rsidR="00E61A3A" w:rsidRDefault="009658E6">
                        <w:r>
                          <w:rPr>
                            <w:color w:val="000000"/>
                          </w:rPr>
                          <w:t>Владелец: Зубова Елена Николаевна</w:t>
                        </w:r>
                      </w:p>
                      <w:p w:rsidR="00E61A3A" w:rsidRDefault="009658E6">
                        <w:r>
                          <w:rPr>
                            <w:color w:val="000000"/>
                          </w:rPr>
                          <w:t>Действителен с 24.07.2024 по 17.10.2025</w:t>
                        </w:r>
                      </w:p>
                      <w:p w:rsidR="00E61A3A" w:rsidRDefault="009658E6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E61A3A" w:rsidRDefault="00E61A3A">
                  <w:pPr>
                    <w:spacing w:line="1" w:lineRule="auto"/>
                  </w:pP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1A3A">
        <w:tc>
          <w:tcPr>
            <w:tcW w:w="7290" w:type="dxa"/>
            <w:gridSpan w:val="9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1A3A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8-4852-55-07-54, muzdkb3@mail.ru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(телефон, e-</w:t>
            </w:r>
            <w:proofErr w:type="spellStart"/>
            <w:r>
              <w:rPr>
                <w:color w:val="000000"/>
                <w:sz w:val="16"/>
                <w:szCs w:val="16"/>
              </w:rPr>
              <w:t>mail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spacing w:line="1" w:lineRule="auto"/>
            </w:pPr>
          </w:p>
        </w:tc>
      </w:tr>
      <w:tr w:rsidR="00E61A3A">
        <w:trPr>
          <w:trHeight w:val="230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E61A3A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r>
                    <w:rPr>
                      <w:color w:val="000000"/>
                      <w:sz w:val="28"/>
                      <w:szCs w:val="28"/>
                    </w:rPr>
                    <w:t>25 января 2025 г.</w:t>
                  </w: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</w:tr>
    </w:tbl>
    <w:p w:rsidR="00E61A3A" w:rsidRDefault="00E61A3A">
      <w:pPr>
        <w:sectPr w:rsidR="00E61A3A">
          <w:headerReference w:type="default" r:id="rId6"/>
          <w:footerReference w:type="default" r:id="rId7"/>
          <w:pgSz w:w="11905" w:h="16837"/>
          <w:pgMar w:top="1133" w:right="566" w:bottom="1133" w:left="1133" w:header="1133" w:footer="1133" w:gutter="0"/>
          <w:cols w:space="720"/>
        </w:sectPr>
      </w:pPr>
    </w:p>
    <w:p w:rsidR="00E61A3A" w:rsidRDefault="00E61A3A">
      <w:pPr>
        <w:rPr>
          <w:vanish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2237"/>
      </w:tblGrid>
      <w:tr w:rsidR="00E61A3A">
        <w:trPr>
          <w:trHeight w:val="680"/>
        </w:trPr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223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4</w:t>
            </w:r>
          </w:p>
        </w:tc>
      </w:tr>
      <w:tr w:rsidR="00E61A3A">
        <w:trPr>
          <w:trHeight w:val="680"/>
        </w:trPr>
        <w:tc>
          <w:tcPr>
            <w:tcW w:w="10206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 учреждения</w:t>
            </w:r>
          </w:p>
        </w:tc>
      </w:tr>
    </w:tbl>
    <w:p w:rsidR="00E61A3A" w:rsidRDefault="00E61A3A">
      <w:pPr>
        <w:rPr>
          <w:vanish/>
        </w:rPr>
      </w:pPr>
      <w:bookmarkStart w:id="6" w:name="__bookmark_8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2834"/>
        <w:gridCol w:w="850"/>
        <w:gridCol w:w="56"/>
        <w:gridCol w:w="1133"/>
        <w:gridCol w:w="850"/>
        <w:gridCol w:w="56"/>
        <w:gridCol w:w="1133"/>
        <w:gridCol w:w="1417"/>
        <w:gridCol w:w="56"/>
        <w:gridCol w:w="56"/>
        <w:gridCol w:w="551"/>
        <w:gridCol w:w="551"/>
        <w:gridCol w:w="551"/>
        <w:gridCol w:w="56"/>
      </w:tblGrid>
      <w:tr w:rsidR="00E61A3A">
        <w:trPr>
          <w:trHeight w:val="680"/>
          <w:tblHeader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</w:t>
            </w:r>
            <w:r>
              <w:rPr>
                <w:color w:val="000000"/>
                <w:sz w:val="28"/>
                <w:szCs w:val="28"/>
              </w:rPr>
              <w:br/>
              <w:t>бухгалтерского учета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бухгалтерского учета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Характери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стика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применяемого</w:t>
            </w:r>
            <w:r>
              <w:rPr>
                <w:color w:val="000000"/>
                <w:sz w:val="28"/>
                <w:szCs w:val="28"/>
              </w:rPr>
              <w:br/>
              <w:t>способа</w:t>
            </w:r>
          </w:p>
        </w:tc>
      </w:tr>
      <w:tr w:rsidR="00E61A3A">
        <w:trPr>
          <w:trHeight w:val="322"/>
          <w:tblHeader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1A3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 учета осуществляется бухгалтерией учреждения</w:t>
            </w:r>
          </w:p>
        </w:tc>
      </w:tr>
      <w:tr w:rsidR="00E61A3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00003000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</w:tr>
      <w:tr w:rsidR="00E61A3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00021000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</w:tr>
      <w:tr w:rsidR="00E61A3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</w:tr>
      <w:tr w:rsidR="00E61A3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Методы начисления </w:t>
            </w:r>
            <w:r>
              <w:rPr>
                <w:color w:val="000000"/>
                <w:sz w:val="28"/>
                <w:szCs w:val="28"/>
              </w:rPr>
              <w:lastRenderedPageBreak/>
              <w:t>амортизации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Линейный </w:t>
            </w:r>
            <w:r>
              <w:rPr>
                <w:color w:val="000000"/>
                <w:sz w:val="28"/>
                <w:szCs w:val="28"/>
              </w:rPr>
              <w:lastRenderedPageBreak/>
              <w:t>метод</w:t>
            </w:r>
          </w:p>
        </w:tc>
      </w:tr>
      <w:tr w:rsidR="00E61A3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Материальные запасы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</w:tr>
      <w:tr w:rsidR="00E61A3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Пропорционально прямым затратам по оплате труда</w:t>
            </w:r>
          </w:p>
        </w:tc>
      </w:tr>
      <w:tr w:rsidR="00E61A3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Права пользования активами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на основании решения комиссии по поступлению и выбытию активов</w:t>
            </w:r>
          </w:p>
        </w:tc>
      </w:tr>
      <w:tr w:rsidR="00E61A3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будущих периодов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40150000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будущих периодов признаются расходами текущего финансового года ежемесячно, в течение периода, к которому они относятся</w:t>
            </w:r>
          </w:p>
        </w:tc>
      </w:tr>
      <w:tr w:rsidR="00E61A3A">
        <w:trPr>
          <w:trHeight w:val="322"/>
        </w:trPr>
        <w:tc>
          <w:tcPr>
            <w:tcW w:w="379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Резервы предстоящих расходов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40160000</w:t>
            </w:r>
          </w:p>
        </w:tc>
        <w:tc>
          <w:tcPr>
            <w:tcW w:w="266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176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Формирование резервов </w:t>
            </w:r>
            <w:r>
              <w:rPr>
                <w:color w:val="000000"/>
                <w:sz w:val="28"/>
                <w:szCs w:val="28"/>
              </w:rPr>
              <w:lastRenderedPageBreak/>
              <w:t>отпусков осуществляется ежегодно. Формирование резерва на материальные запасы, основные средства, выполненные работы и оказанные услуги осуществляется на основании документа о поставке товара, выполненных работ, оказанных услуг</w:t>
            </w:r>
          </w:p>
        </w:tc>
      </w:tr>
      <w:tr w:rsidR="00E61A3A"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</w:tr>
    </w:tbl>
    <w:p w:rsidR="00E61A3A" w:rsidRDefault="00E61A3A">
      <w:pPr>
        <w:sectPr w:rsidR="00E61A3A">
          <w:headerReference w:type="default" r:id="rId8"/>
          <w:footerReference w:type="default" r:id="rId9"/>
          <w:pgSz w:w="11905" w:h="16837"/>
          <w:pgMar w:top="1133" w:right="566" w:bottom="1133" w:left="1133" w:header="1133" w:footer="1133" w:gutter="0"/>
          <w:cols w:space="720"/>
        </w:sectPr>
      </w:pPr>
    </w:p>
    <w:p w:rsidR="00E61A3A" w:rsidRDefault="00E61A3A">
      <w:pPr>
        <w:rPr>
          <w:vanish/>
        </w:rPr>
      </w:pPr>
      <w:bookmarkStart w:id="7" w:name="__bookmark_11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E61A3A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7</w:t>
            </w:r>
          </w:p>
        </w:tc>
      </w:tr>
      <w:tr w:rsidR="00E61A3A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учреждения</w:t>
            </w:r>
          </w:p>
        </w:tc>
      </w:tr>
    </w:tbl>
    <w:p w:rsidR="00E61A3A" w:rsidRDefault="00E61A3A">
      <w:pPr>
        <w:rPr>
          <w:vanish/>
        </w:rPr>
      </w:pPr>
      <w:bookmarkStart w:id="8" w:name="__bookmark_12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3147"/>
        <w:gridCol w:w="1049"/>
        <w:gridCol w:w="2098"/>
        <w:gridCol w:w="1700"/>
        <w:gridCol w:w="2212"/>
      </w:tblGrid>
      <w:tr w:rsidR="00E61A3A">
        <w:trPr>
          <w:trHeight w:val="566"/>
          <w:tblHeader/>
        </w:trPr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E61A3A">
        <w:trPr>
          <w:tblHeader/>
        </w:trPr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Местонахождение учреждения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юридический/почтовый адрес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Тутаевское шоссе, д.29, г. Ярославль, Ярославская область, 150042.</w:t>
            </w: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ОКОПФ ОК 028-2012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Государственные бюджетные учреждения субъектов Российской Федерации</w:t>
            </w: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Департамента здравоохранения и фармации Ярославской области от 13.05.2015г. № 767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Контрольно-счетная палата Ярославской области</w:t>
            </w: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деятельности субъекта отчетности, созданного на определенный срок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имеется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и место публикации отчета, содержащего информацию о </w:t>
            </w:r>
            <w:r>
              <w:rPr>
                <w:color w:val="000000"/>
                <w:sz w:val="28"/>
                <w:szCs w:val="28"/>
              </w:rPr>
              <w:lastRenderedPageBreak/>
              <w:t>результатах исполнения плана финансово-хозяйственной деятельности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Минфина РФ от 21 июля 2011 г. N 86н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www.bus.gov.ru</w:t>
            </w: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место публикации отчета, содержащего информацию о результатах исполнения государственного (муниципального) задания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 Минфина РФ от 21 июля 2011 г. N 86н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www.bus.gov.ru</w:t>
            </w: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наблюдательного совета (органа управления учреждением)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наблюдательного совета (органа управления учреждением)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полномочий наблюдательного совета (органа управления учреждением)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полномочий учреждения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 по ведению бухгалтерского учета иной организации (централизованной бухгалтерии)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 включая и обязательства, оспариваемые в суде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</w:tr>
      <w:tr w:rsidR="00E61A3A">
        <w:trPr>
          <w:trHeight w:val="322"/>
        </w:trPr>
        <w:tc>
          <w:tcPr>
            <w:tcW w:w="10206" w:type="dxa"/>
            <w:gridSpan w:val="5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* Общероссийский классификатор организационно-правовых форм ОК 028-2012</w:t>
            </w:r>
          </w:p>
        </w:tc>
      </w:tr>
    </w:tbl>
    <w:p w:rsidR="00E61A3A" w:rsidRDefault="00E61A3A">
      <w:pPr>
        <w:sectPr w:rsidR="00E61A3A">
          <w:headerReference w:type="default" r:id="rId10"/>
          <w:footerReference w:type="default" r:id="rId11"/>
          <w:pgSz w:w="11905" w:h="16837"/>
          <w:pgMar w:top="1133" w:right="566" w:bottom="1133" w:left="1133" w:header="1133" w:footer="1133" w:gutter="0"/>
          <w:cols w:space="720"/>
        </w:sectPr>
      </w:pPr>
    </w:p>
    <w:p w:rsidR="00E61A3A" w:rsidRDefault="00E61A3A">
      <w:pPr>
        <w:rPr>
          <w:vanish/>
        </w:rPr>
      </w:pPr>
      <w:bookmarkStart w:id="9" w:name="__bookmark_13"/>
      <w:bookmarkEnd w:id="9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E61A3A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E61A3A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учреждения</w:t>
            </w:r>
          </w:p>
        </w:tc>
      </w:tr>
    </w:tbl>
    <w:p w:rsidR="00E61A3A" w:rsidRDefault="00E61A3A">
      <w:pPr>
        <w:rPr>
          <w:vanish/>
        </w:rPr>
      </w:pPr>
      <w:bookmarkStart w:id="10" w:name="__bookmark_14"/>
      <w:bookmarkEnd w:id="1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E61A3A">
        <w:trPr>
          <w:trHeight w:val="566"/>
          <w:tblHeader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E61A3A">
        <w:trPr>
          <w:tblHeader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bookmarkStart w:id="11" w:name="_TocМеры_по_повышению_квалификации_и_пер"/>
      <w:bookmarkEnd w:id="11"/>
      <w:tr w:rsidR="00E61A3A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682BBA">
            <w:pPr>
              <w:rPr>
                <w:vanish/>
              </w:rPr>
            </w:pPr>
            <w:r>
              <w:fldChar w:fldCharType="begin"/>
            </w:r>
            <w:r w:rsidR="009658E6">
              <w:instrText xml:space="preserve"> TC "Меры по повышению квалификации и переподготовке специалистов учреждения" \f C \l "1"</w:instrText>
            </w:r>
            <w:r>
              <w:fldChar w:fldCharType="end"/>
            </w:r>
          </w:p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по повышению квалификации и переподготовке специалистов учреждения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2" w:name="__bookmark_15"/>
                  <w:bookmarkEnd w:id="12"/>
                  <w:r>
                    <w:rPr>
                      <w:color w:val="000000"/>
                      <w:sz w:val="28"/>
                      <w:szCs w:val="28"/>
                    </w:rPr>
                    <w:t>010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специалистов, прошедших обучение, чел.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 целью повышения квалификации прошли усовершенствования и специализации (в том числе НМО) врачей - 67, медсестры - 43</w:t>
                  </w:r>
                </w:p>
              </w:tc>
            </w:tr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объем расходов, направленных на обучение,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Объем расходов направленных на обучение составляет 39,4 руб.</w:t>
                  </w:r>
                </w:p>
              </w:tc>
            </w:tr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E61A3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E61A3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</w:tr>
      <w:bookmarkStart w:id="13" w:name="_TocЧисленность_работников"/>
      <w:bookmarkEnd w:id="13"/>
      <w:tr w:rsidR="00E61A3A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682BBA">
            <w:pPr>
              <w:rPr>
                <w:vanish/>
              </w:rPr>
            </w:pPr>
            <w:r>
              <w:fldChar w:fldCharType="begin"/>
            </w:r>
            <w:r w:rsidR="009658E6">
              <w:instrText xml:space="preserve"> TC "Численность работников" \f C \l "1"</w:instrText>
            </w:r>
            <w:r>
              <w:fldChar w:fldCharType="end"/>
            </w:r>
          </w:p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работников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4" w:name="__bookmark_16"/>
                  <w:bookmarkEnd w:id="14"/>
                  <w:r>
                    <w:rPr>
                      <w:color w:val="000000"/>
                      <w:sz w:val="28"/>
                      <w:szCs w:val="28"/>
                    </w:rPr>
                    <w:t>020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средняя численность сотрудников за отчетный период, чел.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339</w:t>
                  </w:r>
                </w:p>
              </w:tc>
            </w:tr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E61A3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E61A3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</w:tr>
      <w:bookmarkStart w:id="15" w:name="_TocИмущество_учреждения"/>
      <w:bookmarkEnd w:id="15"/>
      <w:tr w:rsidR="00E61A3A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682BBA">
            <w:pPr>
              <w:rPr>
                <w:vanish/>
              </w:rPr>
            </w:pPr>
            <w:r>
              <w:fldChar w:fldCharType="begin"/>
            </w:r>
            <w:r w:rsidR="009658E6">
              <w:instrText xml:space="preserve"> TC "Имущество учреждения" \f C \l "1"</w:instrText>
            </w:r>
            <w:r>
              <w:fldChar w:fldCharType="end"/>
            </w:r>
          </w:p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6" w:name="__bookmark_17"/>
                  <w:bookmarkEnd w:id="16"/>
                  <w:r>
                    <w:rPr>
                      <w:color w:val="000000"/>
                      <w:sz w:val="28"/>
                      <w:szCs w:val="28"/>
                    </w:rPr>
                    <w:t>030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и остаточная стоимости временно неэксплуатируемых (неиспользуемых) объектов основных средств,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E61A3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стоимость объектов основных средств, находящихся в эксплуатации и имеющих нулевую остаточную стоимость,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64675,6</w:t>
                  </w:r>
                </w:p>
              </w:tc>
            </w:tr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балансовая и остаточная стоимости объектов основных средств, изъятых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из эксплуатации или удерживаемых до их выбытия,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E61A3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</w:tr>
      <w:bookmarkStart w:id="17" w:name="_TocОбъемы_закупок"/>
      <w:bookmarkEnd w:id="17"/>
      <w:tr w:rsidR="00E61A3A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682BBA">
            <w:pPr>
              <w:rPr>
                <w:vanish/>
              </w:rPr>
            </w:pPr>
            <w:r>
              <w:lastRenderedPageBreak/>
              <w:fldChar w:fldCharType="begin"/>
            </w:r>
            <w:r w:rsidR="009658E6">
              <w:instrText xml:space="preserve"> TC "Объемы закупок" \f C \l "1"</w:instrText>
            </w:r>
            <w:r>
              <w:fldChar w:fldCharType="end"/>
            </w:r>
          </w:p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закупок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8" w:name="__bookmark_18"/>
                  <w:bookmarkEnd w:id="18"/>
                  <w:r>
                    <w:rPr>
                      <w:color w:val="000000"/>
                      <w:sz w:val="28"/>
                      <w:szCs w:val="28"/>
                    </w:rPr>
                    <w:t>040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заключенных в отчетном периоде контрактов (договоров) в рамках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44-ФЗ), шт.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945</w:t>
                  </w:r>
                </w:p>
              </w:tc>
            </w:tr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общая сумма заключенных в отчетном периоде контрактов (договоров) в рамках Закона 44-ФЗ,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84339,9</w:t>
                  </w:r>
                </w:p>
              </w:tc>
            </w:tr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заключенных в отчетном периоде контрактов (договоров) в рамках Федерального закона от 18 июля 2011 г. № 223-ФЗ "О закупках товаров, работ, услуг отдельными видами юридических лиц" (далее - Закон 223-ФЗ), шт.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E61A3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043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общая сумма заключенных в отчетном периоде контрактов (договоров) в рамках Закона 223-ФЗ,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E61A3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</w:tr>
      <w:bookmarkStart w:id="19" w:name="_TocОсновные_фонды_учреждения_(его_струк"/>
      <w:bookmarkEnd w:id="19"/>
      <w:tr w:rsidR="00E61A3A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682BBA">
            <w:pPr>
              <w:rPr>
                <w:vanish/>
              </w:rPr>
            </w:pPr>
            <w:r>
              <w:fldChar w:fldCharType="begin"/>
            </w:r>
            <w:r w:rsidR="009658E6">
              <w:instrText xml:space="preserve"> TC "Основные фонды учреждения (его структурных подразделений, подведомственных учреждению обособленных подразделений)" \f C \l "1"</w:instrText>
            </w:r>
            <w:r>
              <w:fldChar w:fldCharType="end"/>
            </w:r>
          </w:p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Основные фонды учреждения (его структурных подразделений, подведомственных учреждению обособленных </w:t>
            </w:r>
            <w:r>
              <w:rPr>
                <w:color w:val="000000"/>
                <w:sz w:val="28"/>
                <w:szCs w:val="28"/>
              </w:rPr>
              <w:lastRenderedPageBreak/>
              <w:t>подразделений)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20" w:name="__bookmark_19"/>
                  <w:bookmarkEnd w:id="20"/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050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техническое состояние, эффективность использования, обеспеченность учреждения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Техническое состояние основных фондов удовлетворительное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пригодное к эксплуатации. Недостач и порчи имущества в 2024г. не выявлено. Основные средства использовались строго по своему целевому назначению, технический уровень в целом соответствует реальной потребности в них. Переоценка имущества не производилась.</w:t>
                  </w:r>
                </w:p>
              </w:tc>
            </w:tr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051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по улучшению состояния и сохранности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Проведены капитальные ремонты помещений поликлиники. Закуплено новое медицинское оборудование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замен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устаревшего.</w:t>
                  </w:r>
                </w:p>
              </w:tc>
            </w:tr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характеристика комплектности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9658E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Учреждение укомплектовано на 98%.</w:t>
                  </w: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</w:tr>
      <w:tr w:rsidR="00E61A3A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E61A3A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21" w:name="__bookmark_20"/>
                  <w:bookmarkEnd w:id="21"/>
                  <w:r>
                    <w:rPr>
                      <w:color w:val="000000"/>
                      <w:sz w:val="28"/>
                      <w:szCs w:val="28"/>
                    </w:rPr>
                    <w:t>060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E61A3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1A3A" w:rsidRDefault="00E61A3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</w:tr>
    </w:tbl>
    <w:p w:rsidR="00E61A3A" w:rsidRDefault="00E61A3A">
      <w:pPr>
        <w:sectPr w:rsidR="00E61A3A">
          <w:headerReference w:type="default" r:id="rId12"/>
          <w:footerReference w:type="default" r:id="rId13"/>
          <w:pgSz w:w="11905" w:h="16837"/>
          <w:pgMar w:top="1133" w:right="566" w:bottom="1133" w:left="1133" w:header="1133" w:footer="1133" w:gutter="0"/>
          <w:cols w:space="720"/>
        </w:sectPr>
      </w:pPr>
    </w:p>
    <w:p w:rsidR="00E61A3A" w:rsidRDefault="00E61A3A">
      <w:pPr>
        <w:rPr>
          <w:vanish/>
        </w:rPr>
      </w:pPr>
      <w:bookmarkStart w:id="22" w:name="__bookmark_21"/>
      <w:bookmarkEnd w:id="22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E61A3A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E61A3A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учреждением плана его деятельности</w:t>
            </w:r>
          </w:p>
        </w:tc>
      </w:tr>
    </w:tbl>
    <w:p w:rsidR="00E61A3A" w:rsidRDefault="00E61A3A">
      <w:pPr>
        <w:rPr>
          <w:vanish/>
        </w:rPr>
      </w:pPr>
      <w:bookmarkStart w:id="23" w:name="__bookmark_22"/>
      <w:bookmarkEnd w:id="23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082"/>
        <w:gridCol w:w="2041"/>
        <w:gridCol w:w="2041"/>
        <w:gridCol w:w="2042"/>
      </w:tblGrid>
      <w:tr w:rsidR="00E61A3A">
        <w:trPr>
          <w:trHeight w:val="566"/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E61A3A">
        <w:trPr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61A3A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плана финансово-хозяйственной деятельности (ф.0503766): "99 - иные причины" по графе 8 раздела 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исполнено плановых назначений по коду субсидий 901.22.0150 и 901.22.0160 в связи с тем, что оплата и частичная поставка  по контрактам, заключенным в декабре 2024г., будут осуществляться в январе 2025г. Остатки субсидий будут подтверждены; по коду субсидий 901.22.0203 не исполнено плановых назначений в связи с тем, что в декабре 2024г. не были проведены платежные поручения Отделом казначейского обслуживания и контроля в системе казначейских платежей.</w:t>
            </w:r>
          </w:p>
        </w:tc>
      </w:tr>
      <w:tr w:rsidR="00E61A3A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Принятые обязательства (денежные обязательства), исполнение которых предусмотрено в соответствующих годах, следующих за отчетным годом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форме 0503738 (КФО 5) по строке 700 гр.6 "Принятые обязательства" в сумме 36752332,50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color w:val="000000"/>
                <w:sz w:val="28"/>
                <w:szCs w:val="28"/>
              </w:rPr>
              <w:t>: на 2025г. вид финансовой деятельности "Субсидии на иные цели" по КВР 243 - 7769549,26 руб.; по КВР 244 - 28982783,24 руб.</w:t>
            </w:r>
            <w:r>
              <w:rPr>
                <w:color w:val="000000"/>
                <w:sz w:val="28"/>
                <w:szCs w:val="28"/>
              </w:rPr>
              <w:br/>
              <w:t xml:space="preserve">В форме 0503738 (КФО 2) по строке 700 гр.6 "Принятые обязательства" в сумме 45366,51 </w:t>
            </w:r>
            <w:proofErr w:type="spellStart"/>
            <w:r>
              <w:rPr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color w:val="000000"/>
                <w:sz w:val="28"/>
                <w:szCs w:val="28"/>
              </w:rPr>
              <w:t>: на 2025г. вид финансовой деятельности "Собственные доходы учреждения" по КВР 243 - 45366,51 руб.</w:t>
            </w:r>
          </w:p>
        </w:tc>
      </w:tr>
      <w:tr w:rsidR="00E61A3A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8164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2042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</w:tr>
    </w:tbl>
    <w:p w:rsidR="00E61A3A" w:rsidRDefault="00E61A3A">
      <w:pPr>
        <w:sectPr w:rsidR="00E61A3A">
          <w:headerReference w:type="default" r:id="rId14"/>
          <w:footerReference w:type="default" r:id="rId15"/>
          <w:pgSz w:w="11905" w:h="16837"/>
          <w:pgMar w:top="1133" w:right="566" w:bottom="1133" w:left="1133" w:header="1133" w:footer="1133" w:gutter="0"/>
          <w:cols w:space="720"/>
        </w:sectPr>
      </w:pPr>
    </w:p>
    <w:p w:rsidR="00E61A3A" w:rsidRDefault="00E61A3A">
      <w:pPr>
        <w:rPr>
          <w:vanish/>
        </w:rPr>
      </w:pPr>
      <w:bookmarkStart w:id="24" w:name="__bookmark_23"/>
      <w:bookmarkEnd w:id="2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E61A3A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10</w:t>
            </w:r>
          </w:p>
        </w:tc>
      </w:tr>
      <w:tr w:rsidR="00E61A3A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учреждения</w:t>
            </w:r>
          </w:p>
        </w:tc>
      </w:tr>
    </w:tbl>
    <w:p w:rsidR="00E61A3A" w:rsidRDefault="00E61A3A">
      <w:pPr>
        <w:rPr>
          <w:vanish/>
        </w:rPr>
      </w:pPr>
      <w:bookmarkStart w:id="25" w:name="__bookmark_24"/>
      <w:bookmarkEnd w:id="2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2040"/>
        <w:gridCol w:w="1020"/>
        <w:gridCol w:w="1020"/>
        <w:gridCol w:w="1020"/>
        <w:gridCol w:w="1020"/>
        <w:gridCol w:w="1020"/>
        <w:gridCol w:w="1020"/>
        <w:gridCol w:w="1020"/>
        <w:gridCol w:w="1026"/>
      </w:tblGrid>
      <w:tr w:rsidR="00E61A3A">
        <w:trPr>
          <w:trHeight w:val="566"/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E61A3A">
        <w:trPr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со знаком "минус" в графах 5 - 8 раздела 1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"05 - иные причины возникновения просроченной кредиторской задолженности"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субсидии на финансовое обеспечение выполнения бюджетными и автономными учреждениями государственного задания на оказание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9 - "06 -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4 графа 7 - "03.5 -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форме "Сведения об изменении остатков валюты баланса учреждения" (ф.0503773) по коду причины 03, сделан перенос балансовой стоимости и </w:t>
            </w:r>
            <w:r>
              <w:rPr>
                <w:color w:val="000000"/>
                <w:sz w:val="28"/>
                <w:szCs w:val="28"/>
              </w:rPr>
              <w:lastRenderedPageBreak/>
              <w:t>амортизации с КФО 7 "Деятельность по ОМС" на КФО 4 "Деятельность по выполнению государственного (муниципального) задания" в связи с тем, что недвижимое имущество, является собственностью Ярославской области и принадлежит учреждению на праве оперативного управления.</w:t>
            </w: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0503775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1 графа 7 - "99 -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2 графа 7 - "75 -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3 графа 7 - "03 - иные причины"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по банковским счетам, за исключением счетов, открытых для расчетов с иностранной валютой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правовом основании ее возникновения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"09 - иной статус"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"09 - иной статус"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7 - "28 - иное основание выбытия"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Графа 8 - "28 - иное основание выбытия"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0503737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(пояснения) о некассовых операциях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4080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02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</w:tr>
    </w:tbl>
    <w:p w:rsidR="00E61A3A" w:rsidRDefault="00E61A3A">
      <w:pPr>
        <w:sectPr w:rsidR="00E61A3A">
          <w:headerReference w:type="default" r:id="rId16"/>
          <w:footerReference w:type="default" r:id="rId17"/>
          <w:pgSz w:w="11905" w:h="16837"/>
          <w:pgMar w:top="1133" w:right="566" w:bottom="1133" w:left="1133" w:header="1133" w:footer="1133" w:gutter="0"/>
          <w:cols w:space="720"/>
        </w:sectPr>
      </w:pPr>
    </w:p>
    <w:p w:rsidR="00E61A3A" w:rsidRDefault="00E61A3A">
      <w:pPr>
        <w:rPr>
          <w:vanish/>
        </w:rPr>
      </w:pPr>
      <w:bookmarkStart w:id="26" w:name="__bookmark_25"/>
      <w:bookmarkEnd w:id="2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E61A3A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11</w:t>
            </w:r>
          </w:p>
        </w:tc>
      </w:tr>
      <w:tr w:rsidR="00E61A3A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Причины увеличения просроченной задолженности</w:t>
            </w:r>
          </w:p>
        </w:tc>
      </w:tr>
    </w:tbl>
    <w:p w:rsidR="00E61A3A" w:rsidRDefault="00E61A3A">
      <w:pPr>
        <w:rPr>
          <w:vanish/>
        </w:rPr>
      </w:pPr>
      <w:bookmarkStart w:id="27" w:name="__bookmark_26"/>
      <w:bookmarkEnd w:id="2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685"/>
        <w:gridCol w:w="685"/>
        <w:gridCol w:w="685"/>
        <w:gridCol w:w="685"/>
        <w:gridCol w:w="685"/>
        <w:gridCol w:w="850"/>
        <w:gridCol w:w="685"/>
        <w:gridCol w:w="685"/>
        <w:gridCol w:w="685"/>
        <w:gridCol w:w="685"/>
        <w:gridCol w:w="685"/>
        <w:gridCol w:w="685"/>
        <w:gridCol w:w="688"/>
      </w:tblGrid>
      <w:tr w:rsidR="00E61A3A">
        <w:trPr>
          <w:trHeight w:val="566"/>
          <w:tblHeader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34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счета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E61A3A">
        <w:trPr>
          <w:tblHeader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61A3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9073" w:type="dxa"/>
            <w:gridSpan w:val="1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073" w:type="dxa"/>
              <w:tblLayout w:type="fixed"/>
              <w:tblLook w:val="01E0" w:firstRow="1" w:lastRow="1" w:firstColumn="1" w:lastColumn="1" w:noHBand="0" w:noVBand="0"/>
            </w:tblPr>
            <w:tblGrid>
              <w:gridCol w:w="3425"/>
              <w:gridCol w:w="5648"/>
            </w:tblGrid>
            <w:tr w:rsidR="00E61A3A">
              <w:trPr>
                <w:trHeight w:val="322"/>
              </w:trPr>
              <w:tc>
                <w:tcPr>
                  <w:tcW w:w="3425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28" w:name="__bookmark_27"/>
                  <w:bookmarkEnd w:id="28"/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дебиторской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564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2055"/>
                    <w:gridCol w:w="1370"/>
                    <w:gridCol w:w="1373"/>
                  </w:tblGrid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bookmarkStart w:id="29" w:name="__bookmark_28"/>
                              <w:bookmarkEnd w:id="29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E61A3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E61A3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E61A3A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61A3A">
                    <w:trPr>
                      <w:trHeight w:val="322"/>
                    </w:trPr>
                    <w:tc>
                      <w:tcPr>
                        <w:tcW w:w="2905" w:type="dxa"/>
                        <w:gridSpan w:val="2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E61A3A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</w:tr>
                </w:tbl>
                <w:p w:rsidR="00E61A3A" w:rsidRDefault="00E61A3A">
                  <w:pPr>
                    <w:spacing w:line="1" w:lineRule="auto"/>
                  </w:pPr>
                </w:p>
              </w:tc>
            </w:tr>
            <w:tr w:rsidR="00E61A3A">
              <w:trPr>
                <w:trHeight w:val="322"/>
              </w:trPr>
              <w:tc>
                <w:tcPr>
                  <w:tcW w:w="3425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61A3A" w:rsidRDefault="009658E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кредиторской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564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2055"/>
                    <w:gridCol w:w="1370"/>
                    <w:gridCol w:w="1373"/>
                  </w:tblGrid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bookmarkStart w:id="30" w:name="__bookmark_29"/>
                              <w:bookmarkEnd w:id="30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09020000000000244 2 30226001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311,00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сумма: 311.00; пояснение: в том числе по периодам образования за ноябрь 2024г., в том числе по КСБУ и направлениям расхода: (КСБУ 030226000) - 311,0 рублей за получение справки о средней стоимости молока.</w:t>
                        </w:r>
                      </w:p>
                    </w:tc>
                  </w:tr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201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09020000000000244 4 30234006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39 500,00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сумма: 39500.00; пояснение: в том числе по периодам образования - за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декабрь 2024г. В том числе по КСБУ и направлениям расхода: (КСБУ 030234000) - 39500,0 рублей за медикаменты и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мед.изделия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202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09020000000000243 5 30225004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982 284,41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сумма: 982284.41; пояснение: в том числе по периодам образования - за ноябрь - 982284,41 рубль. В том числе по КСБУ и направлениям расхода: (КСБУ 030225000) - 982284,41 рубль за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кап.ремонт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помещений под планируемое к закупке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оборудование по программе "Модернизация первичного звена здравоохранения ЯО".</w:t>
                        </w:r>
                      </w:p>
                    </w:tc>
                  </w:tr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203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09020000000000244 5 30234006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89 400,00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сумма: 89400.00; пояснение:  в том числе по периодам образования -  за декабрь 2024г. В том числе по КСБУ и направлениям расхода: (КСБУ 030234000) - 89400,0 рублей - за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мед.изделия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204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09020000000000244 7 30225002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48 420,00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сумма: 48420.00; пояснение: в том числе по периодам образования - за декабрь 2024г. В том числе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по КСБУ и направлениям расхода: (КСБУ 030225000) - 48420,0 руб.- санитарно-бактериологические исследования смывов и воздуха.</w:t>
                        </w:r>
                      </w:p>
                    </w:tc>
                  </w:tr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205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09020000000000244 7 30225004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30 508,80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сумма: 30508.80; пояснение: в том числе по периодам образования - за декабрь 2024г. В том числе по КСБУ и направлениям расхода: (КСБУ 030225000) -  30508,80 руб. - за услуги по стирке белья.</w:t>
                        </w:r>
                      </w:p>
                    </w:tc>
                  </w:tr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206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09020000000000244 7 30226004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19 980,00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сумма: 19980.00; пояснение: в том числе по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периодам образования - за декабрь 2024г. В том числе по КСБУ и направлениям расхода: (КСБУ 030226000) - 19980,0 рублей  за  обслуживание справочной системы Гарант.</w:t>
                        </w:r>
                      </w:p>
                    </w:tc>
                  </w:tr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207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09030000000000244 7 30226004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50 296,00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сумма: 50296.00; пояснение: в том числе по периодам образования - за декабрь 2024г. В том числе по КСБУ и направлениям расхода: (КСБУ 030226000) - 50296,0 руб. - за программное обслужива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ние ПО.</w:t>
                        </w:r>
                      </w:p>
                    </w:tc>
                  </w:tr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208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09020000000000244 7 30234004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235 189,00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сумма: 235189.00; пояснение: в том числе по периодам образования - за декабрь 2024г. В том числе по КСБУ и направлениям расхода: (КСБУ 030234000) - 235189,0руб. - за медикаменты и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мед.изделия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209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09030000000000244 7 30234004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28 859,16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сумма: 28859.16; пояснение: в том числе по периодам образования - за декабрь2024г.В том числе по КСБУ и направлениям расхода: (КСБУ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030234000) - 28859,16 руб. - за медикаменты и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мед.изделия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lastRenderedPageBreak/>
                                <w:t>210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09020000000000244 7 30234006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34 720,00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сумма: 34720.00; пояснение: в том числе по периодам образования - за декабрь 2024г. В том числе по КСБУ и направлениям расхода: (КСБУ 030234000) - 34720,0 руб. - за медикаменты и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мед.изделия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E61A3A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E61A3A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61A3A" w:rsidRDefault="009658E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211</w:t>
                              </w:r>
                            </w:p>
                          </w:tc>
                        </w:tr>
                      </w:tbl>
                      <w:p w:rsidR="00E61A3A" w:rsidRDefault="00E61A3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09030000000000244 7 30234006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128 500,00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сумма: 128500.00; пояснение: в том числе по периодам образования - за декабрь 2024г. В том числе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по КСБУ и направлениям расхода:  (КСБУ 030234000) - 128500,0 руб. - за медицинские бланки.</w:t>
                        </w:r>
                      </w:p>
                    </w:tc>
                  </w:tr>
                  <w:tr w:rsidR="00E61A3A">
                    <w:trPr>
                      <w:trHeight w:val="322"/>
                    </w:trPr>
                    <w:tc>
                      <w:tcPr>
                        <w:tcW w:w="2905" w:type="dxa"/>
                        <w:gridSpan w:val="2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1 687 968,37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61A3A" w:rsidRDefault="009658E6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</w:tr>
                </w:tbl>
                <w:p w:rsidR="00E61A3A" w:rsidRDefault="00E61A3A">
                  <w:pPr>
                    <w:spacing w:line="1" w:lineRule="auto"/>
                  </w:pPr>
                </w:p>
              </w:tc>
            </w:tr>
          </w:tbl>
          <w:p w:rsidR="00E61A3A" w:rsidRDefault="00E61A3A">
            <w:pPr>
              <w:spacing w:line="1" w:lineRule="auto"/>
            </w:pPr>
          </w:p>
        </w:tc>
      </w:tr>
      <w:tr w:rsidR="00E61A3A"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688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</w:tr>
    </w:tbl>
    <w:p w:rsidR="00E61A3A" w:rsidRDefault="00E61A3A">
      <w:pPr>
        <w:sectPr w:rsidR="00E61A3A">
          <w:headerReference w:type="default" r:id="rId18"/>
          <w:footerReference w:type="default" r:id="rId19"/>
          <w:pgSz w:w="11905" w:h="16837"/>
          <w:pgMar w:top="1133" w:right="566" w:bottom="1133" w:left="1133" w:header="1133" w:footer="1133" w:gutter="0"/>
          <w:cols w:space="720"/>
        </w:sectPr>
      </w:pPr>
    </w:p>
    <w:p w:rsidR="00E61A3A" w:rsidRDefault="00E61A3A">
      <w:pPr>
        <w:rPr>
          <w:vanish/>
        </w:rPr>
      </w:pPr>
      <w:bookmarkStart w:id="31" w:name="__bookmark_30"/>
      <w:bookmarkEnd w:id="3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E61A3A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12</w:t>
            </w:r>
          </w:p>
        </w:tc>
      </w:tr>
      <w:tr w:rsidR="00E61A3A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учреждения</w:t>
            </w:r>
          </w:p>
        </w:tc>
      </w:tr>
    </w:tbl>
    <w:p w:rsidR="00E61A3A" w:rsidRDefault="00E61A3A">
      <w:pPr>
        <w:rPr>
          <w:vanish/>
        </w:rPr>
      </w:pPr>
      <w:bookmarkStart w:id="32" w:name="__bookmark_31"/>
      <w:bookmarkEnd w:id="32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2040"/>
        <w:gridCol w:w="1020"/>
        <w:gridCol w:w="1020"/>
        <w:gridCol w:w="1020"/>
        <w:gridCol w:w="1020"/>
        <w:gridCol w:w="1020"/>
        <w:gridCol w:w="1020"/>
        <w:gridCol w:w="1020"/>
        <w:gridCol w:w="1026"/>
      </w:tblGrid>
      <w:tr w:rsidR="00E61A3A">
        <w:trPr>
          <w:trHeight w:val="566"/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E61A3A">
        <w:trPr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о проведении годовой инвентаризации от 31.10.2024г. № 124.</w:t>
            </w: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бухгалтерской отчетности учреждения в виду отсутствия числовых значений показателей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Справка по консолидируемым расчетам учреждения (ф.0503725);</w:t>
            </w:r>
            <w:r>
              <w:rPr>
                <w:color w:val="000000"/>
                <w:sz w:val="28"/>
                <w:szCs w:val="28"/>
              </w:rPr>
              <w:br/>
              <w:t xml:space="preserve">Отчет об исполнении учреждением плана его финансово-хозяйственной деятельности (субсидии на цели осуществления капвложений) (ф. 0503737); </w:t>
            </w:r>
            <w:r>
              <w:rPr>
                <w:color w:val="000000"/>
                <w:sz w:val="28"/>
                <w:szCs w:val="28"/>
              </w:rPr>
              <w:br/>
              <w:t>Отчет об обязательствах учреждения (субсидии на цели осуществления капвложений) (ф. 0503738);</w:t>
            </w:r>
            <w:r>
              <w:rPr>
                <w:color w:val="000000"/>
                <w:sz w:val="28"/>
                <w:szCs w:val="28"/>
              </w:rPr>
              <w:br/>
              <w:t>Сведения о движении нефинансовых активов учреждения (субсидии на цели осуществления капвложений) (ф. 0503768);</w:t>
            </w:r>
            <w:r>
              <w:rPr>
                <w:color w:val="000000"/>
                <w:sz w:val="28"/>
                <w:szCs w:val="28"/>
              </w:rPr>
              <w:br/>
              <w:t>Сведения по дебиторской и кредиторской задолженности учреждения (субсидии на цели осуществления капвложений) (ф. 0503769);</w:t>
            </w:r>
            <w:r>
              <w:rPr>
                <w:color w:val="000000"/>
                <w:sz w:val="28"/>
                <w:szCs w:val="28"/>
              </w:rPr>
              <w:br/>
              <w:t xml:space="preserve">Сведения об изменении остатков валюты баланса учреждения (ф. 0503773); </w:t>
            </w:r>
            <w:r>
              <w:rPr>
                <w:color w:val="000000"/>
                <w:sz w:val="28"/>
                <w:szCs w:val="28"/>
              </w:rPr>
              <w:br/>
              <w:t xml:space="preserve">Сведения об остатках денежных средств учреждения (субсидии на цели осуществления капвложений) (ф. 0503779) ; </w:t>
            </w:r>
            <w:r>
              <w:rPr>
                <w:color w:val="000000"/>
                <w:sz w:val="28"/>
                <w:szCs w:val="28"/>
              </w:rPr>
              <w:br/>
              <w:t>Сведения о финансовых вложениях учреждения (ф. 0503771);</w:t>
            </w:r>
            <w:r>
              <w:rPr>
                <w:color w:val="000000"/>
                <w:sz w:val="28"/>
                <w:szCs w:val="28"/>
              </w:rPr>
              <w:br/>
              <w:t xml:space="preserve">Сведения о суммах </w:t>
            </w:r>
            <w:r>
              <w:rPr>
                <w:color w:val="000000"/>
                <w:sz w:val="28"/>
                <w:szCs w:val="28"/>
              </w:rPr>
              <w:lastRenderedPageBreak/>
              <w:t>заимствований (ф. 0503772);</w:t>
            </w:r>
            <w:r>
              <w:rPr>
                <w:color w:val="000000"/>
                <w:sz w:val="28"/>
                <w:szCs w:val="28"/>
              </w:rPr>
              <w:br/>
              <w:t>Сведения о вложениях в объекты недвижимого имущества, об объектах незавершенного строительства бюджетного (автономного) учреждения (ф. 0503790);</w:t>
            </w:r>
            <w:r>
              <w:rPr>
                <w:color w:val="000000"/>
                <w:sz w:val="28"/>
                <w:szCs w:val="28"/>
              </w:rPr>
              <w:br/>
              <w:t xml:space="preserve">Сведения о направлениях деятельности (Таблица №1); </w:t>
            </w:r>
            <w:r>
              <w:rPr>
                <w:color w:val="000000"/>
                <w:sz w:val="28"/>
                <w:szCs w:val="28"/>
              </w:rPr>
              <w:br/>
              <w:t>Сведения о проведении инвентаризаций (Таблица N 6).</w:t>
            </w:r>
          </w:p>
        </w:tc>
      </w:tr>
      <w:tr w:rsidR="00E61A3A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1A3A" w:rsidRDefault="009658E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1A3A" w:rsidRDefault="00E61A3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1A3A">
        <w:tc>
          <w:tcPr>
            <w:tcW w:w="4080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  <w:tc>
          <w:tcPr>
            <w:tcW w:w="102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1A3A" w:rsidRDefault="00E61A3A">
            <w:pPr>
              <w:spacing w:line="1" w:lineRule="auto"/>
            </w:pPr>
          </w:p>
        </w:tc>
      </w:tr>
    </w:tbl>
    <w:p w:rsidR="009658E6" w:rsidRDefault="009658E6"/>
    <w:sectPr w:rsidR="009658E6" w:rsidSect="00E61A3A">
      <w:headerReference w:type="default" r:id="rId20"/>
      <w:footerReference w:type="default" r:id="rId21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8E6" w:rsidRDefault="009658E6" w:rsidP="00E61A3A">
      <w:r>
        <w:separator/>
      </w:r>
    </w:p>
  </w:endnote>
  <w:endnote w:type="continuationSeparator" w:id="0">
    <w:p w:rsidR="009658E6" w:rsidRDefault="009658E6" w:rsidP="00E6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8E6" w:rsidRDefault="009658E6" w:rsidP="00E61A3A">
      <w:r>
        <w:separator/>
      </w:r>
    </w:p>
  </w:footnote>
  <w:footnote w:type="continuationSeparator" w:id="0">
    <w:p w:rsidR="009658E6" w:rsidRDefault="009658E6" w:rsidP="00E6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61A3A">
      <w:tc>
        <w:tcPr>
          <w:tcW w:w="10421" w:type="dxa"/>
        </w:tcPr>
        <w:p w:rsidR="00E61A3A" w:rsidRDefault="00E61A3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3A"/>
    <w:rsid w:val="000E7E8D"/>
    <w:rsid w:val="00121051"/>
    <w:rsid w:val="00682BBA"/>
    <w:rsid w:val="009658E6"/>
    <w:rsid w:val="00E6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58431-50A2-4E5D-AEDE-26F0A797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E61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4353</Words>
  <Characters>24815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Zubova</dc:creator>
  <cp:keywords/>
  <dc:description/>
  <cp:lastModifiedBy>Maksim Varfolomeev</cp:lastModifiedBy>
  <cp:revision>2</cp:revision>
  <dcterms:created xsi:type="dcterms:W3CDTF">2025-03-31T08:42:00Z</dcterms:created>
  <dcterms:modified xsi:type="dcterms:W3CDTF">2025-03-31T08:42:00Z</dcterms:modified>
</cp:coreProperties>
</file>